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FD" w:rsidRPr="00CD5DFD" w:rsidRDefault="00CD5DFD" w:rsidP="00CD5D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CD5DF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</w:rPr>
        <w:t>IMPORTANT FOLLOW-UP NOTICE:  MEASURES TAKEN</w:t>
      </w:r>
    </w:p>
    <w:p w:rsidR="00640BD8" w:rsidRPr="00C230D9" w:rsidRDefault="00640BD8" w:rsidP="00640B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Cromwell Valley Elementary School</w:t>
      </w:r>
    </w:p>
    <w:p w:rsidR="00640BD8" w:rsidRPr="00C230D9" w:rsidRDefault="00640BD8" w:rsidP="00640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40BD8" w:rsidRPr="00C230D9" w:rsidRDefault="00640BD8" w:rsidP="00640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23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ELEVATED LEAD WATER SAMPLE RESULT(S) </w:t>
      </w:r>
    </w:p>
    <w:p w:rsidR="00640BD8" w:rsidRDefault="00640BD8" w:rsidP="00640BD8">
      <w:pPr>
        <w:pStyle w:val="TI"/>
        <w:spacing w:after="0"/>
        <w:jc w:val="both"/>
        <w:rPr>
          <w:b w:val="0"/>
          <w:bCs/>
          <w:color w:val="000000"/>
          <w:sz w:val="23"/>
          <w:szCs w:val="23"/>
        </w:rPr>
      </w:pPr>
      <w:r w:rsidRPr="00C230D9">
        <w:rPr>
          <w:b w:val="0"/>
          <w:bCs/>
          <w:color w:val="000000"/>
          <w:sz w:val="23"/>
          <w:szCs w:val="23"/>
        </w:rPr>
        <w:t xml:space="preserve">All Maryland public and nonpublic schools are required to sample all drinking water </w:t>
      </w:r>
      <w:r>
        <w:rPr>
          <w:b w:val="0"/>
          <w:bCs/>
          <w:color w:val="000000"/>
          <w:sz w:val="23"/>
          <w:szCs w:val="23"/>
        </w:rPr>
        <w:t>source</w:t>
      </w:r>
      <w:r w:rsidRPr="00C230D9">
        <w:rPr>
          <w:b w:val="0"/>
          <w:bCs/>
          <w:color w:val="000000"/>
          <w:sz w:val="23"/>
          <w:szCs w:val="23"/>
        </w:rPr>
        <w:t>s for the presence of lead pursuant to the Code of Maryland Regulations</w:t>
      </w:r>
      <w:r w:rsidRPr="00C230D9">
        <w:rPr>
          <w:b w:val="0"/>
          <w:sz w:val="23"/>
          <w:szCs w:val="23"/>
        </w:rPr>
        <w:t xml:space="preserve">. </w:t>
      </w:r>
      <w:r w:rsidRPr="00C230D9">
        <w:rPr>
          <w:b w:val="0"/>
          <w:color w:val="000000"/>
          <w:sz w:val="23"/>
          <w:szCs w:val="23"/>
        </w:rPr>
        <w:t xml:space="preserve">On </w:t>
      </w:r>
      <w:r>
        <w:rPr>
          <w:b w:val="0"/>
          <w:color w:val="000000"/>
          <w:sz w:val="23"/>
          <w:szCs w:val="23"/>
        </w:rPr>
        <w:t>November 17, 2018, 55</w:t>
      </w:r>
      <w:r w:rsidRPr="00C230D9">
        <w:rPr>
          <w:color w:val="000000"/>
          <w:sz w:val="23"/>
          <w:szCs w:val="23"/>
        </w:rPr>
        <w:t xml:space="preserve"> </w:t>
      </w:r>
      <w:r w:rsidRPr="00C230D9">
        <w:rPr>
          <w:b w:val="0"/>
          <w:color w:val="000000"/>
          <w:sz w:val="23"/>
          <w:szCs w:val="23"/>
        </w:rPr>
        <w:t>water samples were collected from</w:t>
      </w:r>
      <w:r w:rsidRPr="00C230D9">
        <w:rPr>
          <w:color w:val="000000"/>
          <w:sz w:val="23"/>
          <w:szCs w:val="23"/>
        </w:rPr>
        <w:t xml:space="preserve"> </w:t>
      </w:r>
      <w:r>
        <w:rPr>
          <w:b w:val="0"/>
          <w:bCs/>
          <w:color w:val="000000"/>
          <w:sz w:val="23"/>
          <w:szCs w:val="23"/>
        </w:rPr>
        <w:t>Cromwell Valley Elementary School. Of these water samples, three (3)</w:t>
      </w:r>
      <w:r w:rsidRPr="00C230D9">
        <w:rPr>
          <w:b w:val="0"/>
          <w:bCs/>
          <w:color w:val="000000"/>
          <w:sz w:val="23"/>
          <w:szCs w:val="23"/>
        </w:rPr>
        <w:t xml:space="preserve"> had levels of lead exceeding the action level of 20 parts per billion (ppb) for lead in drinking water in school buildings. The elevated lead results </w:t>
      </w:r>
      <w:r>
        <w:rPr>
          <w:b w:val="0"/>
          <w:bCs/>
          <w:color w:val="000000"/>
          <w:sz w:val="23"/>
          <w:szCs w:val="23"/>
        </w:rPr>
        <w:t>from the sample(s) collected at Cromwell Valley Elementary School</w:t>
      </w:r>
      <w:r w:rsidRPr="00C230D9">
        <w:rPr>
          <w:b w:val="0"/>
          <w:bCs/>
          <w:color w:val="000000"/>
          <w:sz w:val="23"/>
          <w:szCs w:val="23"/>
        </w:rPr>
        <w:t xml:space="preserve"> were as follows:  </w:t>
      </w:r>
    </w:p>
    <w:p w:rsidR="00640BD8" w:rsidRDefault="00640BD8" w:rsidP="00640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0BD8" w:rsidRDefault="00640BD8" w:rsidP="00640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33.2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Bubbler, Office,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40BD8" w:rsidRDefault="00640BD8" w:rsidP="00640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60.2 parts per billion (ppb) Tap, Health Suite,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40BD8" w:rsidRPr="00782A49" w:rsidRDefault="00640BD8" w:rsidP="00640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28.6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</w:t>
      </w:r>
      <w:r>
        <w:rPr>
          <w:rFonts w:ascii="Times New Roman" w:hAnsi="Times New Roman" w:cs="Times New Roman"/>
          <w:color w:val="000000"/>
          <w:sz w:val="23"/>
          <w:szCs w:val="23"/>
        </w:rPr>
        <w:t>Bubbler, Room 14</w:t>
      </w:r>
    </w:p>
    <w:p w:rsidR="007E699A" w:rsidRDefault="007E699A" w:rsidP="007E69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D5DFD" w:rsidRPr="00CD5DFD" w:rsidRDefault="00CD5DFD" w:rsidP="00CD5DF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ACTION LEVEL (AL) </w:t>
      </w: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The AL is 20 ppb for lead in drinking water in school buildings. The AL is the concentration of lead which, if exceeded, triggers required remediation. </w:t>
      </w: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Cs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b/>
          <w:iCs/>
          <w:color w:val="000000"/>
          <w:sz w:val="23"/>
          <w:szCs w:val="23"/>
        </w:rPr>
        <w:t>FOLLOW-UP RESULTS</w:t>
      </w:r>
    </w:p>
    <w:p w:rsid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On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 </w:t>
      </w:r>
      <w:r w:rsidR="00AC0C7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November 2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, 2019</w:t>
      </w: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, samples were re-tested from the locations listed above. 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S</w:t>
      </w: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amples are </w:t>
      </w:r>
      <w:r w:rsidR="008B5844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no</w:t>
      </w:r>
      <w:r w:rsidR="00AC0C7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w</w:t>
      </w: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 below the AL of 20 pp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b </w:t>
      </w:r>
      <w:r w:rsidR="00F05DB1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for </w:t>
      </w:r>
      <w:r w:rsidR="00B94F7E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the following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 fixtures</w:t>
      </w:r>
      <w:r w:rsidR="00B94F7E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:</w:t>
      </w:r>
    </w:p>
    <w:p w:rsidR="00640BD8" w:rsidRDefault="00640BD8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</w:p>
    <w:p w:rsidR="00640BD8" w:rsidRDefault="00640BD8" w:rsidP="00640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Tap, Health Suite,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40BD8" w:rsidRDefault="00640BD8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Bubbler, Room 14</w:t>
      </w:r>
    </w:p>
    <w:p w:rsidR="005F2851" w:rsidRDefault="005F2851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ACTIONS TAKEN WITH DATES</w:t>
      </w:r>
    </w:p>
    <w:p w:rsidR="00DC02B0" w:rsidRDefault="007A380B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These</w:t>
      </w:r>
      <w:r w:rsidR="00D0443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fixtures were replaced prior to resampling.  </w:t>
      </w:r>
      <w:r w:rsidR="00640BD8">
        <w:rPr>
          <w:rFonts w:ascii="Times New Roman" w:eastAsiaTheme="minorHAnsi" w:hAnsi="Times New Roman" w:cs="Times New Roman"/>
          <w:color w:val="000000"/>
          <w:sz w:val="23"/>
          <w:szCs w:val="23"/>
        </w:rPr>
        <w:t>The fixtures below the action level were returned to service on January 28, 2020.  The following fixture will be remediated:</w:t>
      </w:r>
    </w:p>
    <w:p w:rsidR="00640BD8" w:rsidRDefault="00640BD8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640BD8" w:rsidRDefault="00640BD8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Bubbler, Office,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AC0C70" w:rsidRDefault="00AC0C70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ADDITIONAL INFORMATION </w:t>
      </w:r>
    </w:p>
    <w:p w:rsidR="00CD5DFD" w:rsidRPr="00CD5DFD" w:rsidRDefault="00CD5DFD" w:rsidP="00CD5DF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For additional information, please contact David Glassman, Supervisor, Environmental Services at 443.809.6310 or </w:t>
      </w:r>
      <w:hyperlink r:id="rId5" w:history="1">
        <w:r w:rsidRPr="00CD5DFD">
          <w:rPr>
            <w:rFonts w:ascii="Times New Roman" w:eastAsiaTheme="minorHAnsi" w:hAnsi="Times New Roman" w:cs="Times New Roman"/>
            <w:color w:val="0563C1" w:themeColor="hyperlink"/>
            <w:sz w:val="23"/>
            <w:szCs w:val="23"/>
            <w:u w:val="single"/>
          </w:rPr>
          <w:t>dglassman2@bcps.org</w:t>
        </w:r>
      </w:hyperlink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</w:p>
    <w:p w:rsidR="00CD5DFD" w:rsidRPr="00CD5DFD" w:rsidRDefault="00CD5DFD" w:rsidP="00CD5DF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For additional information about reducing lead exposure around your home/building and the health effects of lead, visit EPA’s website at </w:t>
      </w:r>
      <w:hyperlink r:id="rId6" w:history="1">
        <w:r w:rsidRPr="00CD5DFD">
          <w:rPr>
            <w:rFonts w:ascii="Times New Roman" w:eastAsiaTheme="minorHAnsi" w:hAnsi="Times New Roman" w:cs="Times New Roman"/>
            <w:color w:val="0563C1" w:themeColor="hyperlink"/>
            <w:sz w:val="23"/>
            <w:szCs w:val="23"/>
            <w:u w:val="single"/>
          </w:rPr>
          <w:t>www.epa.gov/lead</w:t>
        </w:r>
      </w:hyperlink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</w:p>
    <w:p w:rsidR="0088767B" w:rsidRPr="0099636B" w:rsidRDefault="00CD5DFD" w:rsidP="007A380B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9636B">
        <w:rPr>
          <w:rFonts w:ascii="Times New Roman" w:eastAsiaTheme="minorHAnsi" w:hAnsi="Times New Roman" w:cs="Times New Roman"/>
          <w:color w:val="000000"/>
          <w:sz w:val="23"/>
          <w:szCs w:val="23"/>
        </w:rPr>
        <w:t>I</w:t>
      </w:r>
      <w:r w:rsidRPr="0099636B">
        <w:rPr>
          <w:rFonts w:ascii="Times New Roman" w:eastAsiaTheme="minorHAnsi" w:hAnsi="Times New Roman" w:cs="Times New Roman"/>
          <w:sz w:val="23"/>
          <w:szCs w:val="23"/>
        </w:rPr>
        <w:t>f you are concerned about exposure, contact your healthcare provider.  If you do not have a healthcare provider, please contact the Baltimore County Department of Health at 410.887.3725.</w:t>
      </w:r>
    </w:p>
    <w:sectPr w:rsidR="0088767B" w:rsidRPr="0099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5EE"/>
    <w:multiLevelType w:val="hybridMultilevel"/>
    <w:tmpl w:val="5916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A153C"/>
    <w:multiLevelType w:val="hybridMultilevel"/>
    <w:tmpl w:val="9CE23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0975"/>
    <w:multiLevelType w:val="hybridMultilevel"/>
    <w:tmpl w:val="5916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7B"/>
    <w:rsid w:val="00017C78"/>
    <w:rsid w:val="00022DFE"/>
    <w:rsid w:val="0003029C"/>
    <w:rsid w:val="00074182"/>
    <w:rsid w:val="00207CD1"/>
    <w:rsid w:val="002962B0"/>
    <w:rsid w:val="002C24AA"/>
    <w:rsid w:val="00386938"/>
    <w:rsid w:val="00423ABF"/>
    <w:rsid w:val="005960A3"/>
    <w:rsid w:val="005F2851"/>
    <w:rsid w:val="00640BD8"/>
    <w:rsid w:val="006A0A58"/>
    <w:rsid w:val="006D60B8"/>
    <w:rsid w:val="006F2C82"/>
    <w:rsid w:val="00782A49"/>
    <w:rsid w:val="007A380B"/>
    <w:rsid w:val="007E699A"/>
    <w:rsid w:val="00826C89"/>
    <w:rsid w:val="0088767B"/>
    <w:rsid w:val="008B5844"/>
    <w:rsid w:val="008E2525"/>
    <w:rsid w:val="0099636B"/>
    <w:rsid w:val="00A45FA4"/>
    <w:rsid w:val="00AB00E8"/>
    <w:rsid w:val="00AC0C70"/>
    <w:rsid w:val="00B60DE0"/>
    <w:rsid w:val="00B94F7E"/>
    <w:rsid w:val="00C53738"/>
    <w:rsid w:val="00C904F9"/>
    <w:rsid w:val="00CD5DFD"/>
    <w:rsid w:val="00D04430"/>
    <w:rsid w:val="00D47109"/>
    <w:rsid w:val="00DB3816"/>
    <w:rsid w:val="00DC02B0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724A6-CA33-43BA-A1EF-49178D27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6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67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I">
    <w:name w:val="TI"/>
    <w:basedOn w:val="Normal"/>
    <w:next w:val="Normal"/>
    <w:rsid w:val="0088767B"/>
    <w:pPr>
      <w:spacing w:after="120"/>
      <w:jc w:val="center"/>
    </w:pPr>
    <w:rPr>
      <w:rFonts w:ascii="Times New Roman" w:eastAsia="Times New Roman" w:hAnsi="Times New Roman" w:cs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lead" TargetMode="External"/><Relationship Id="rId5" Type="http://schemas.openxmlformats.org/officeDocument/2006/relationships/hyperlink" Target="mailto:dglassman2@bc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Glassman, David W.</dc:creator>
  <cp:keywords/>
  <dc:description/>
  <cp:lastModifiedBy>Novotny, Dana M.</cp:lastModifiedBy>
  <cp:revision>2</cp:revision>
  <dcterms:created xsi:type="dcterms:W3CDTF">2020-02-17T02:45:00Z</dcterms:created>
  <dcterms:modified xsi:type="dcterms:W3CDTF">2020-02-17T02:45:00Z</dcterms:modified>
</cp:coreProperties>
</file>